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A1199" w14:textId="5567E1CA" w:rsidR="00CB0F5F" w:rsidRPr="00406AFC" w:rsidRDefault="00CB0F5F" w:rsidP="00406AFC">
      <w:pPr>
        <w:pStyle w:val="Heading1"/>
        <w:spacing w:line="360" w:lineRule="auto"/>
        <w:rPr>
          <w:snapToGrid/>
          <w:color w:val="000000" w:themeColor="text1"/>
        </w:rPr>
      </w:pPr>
      <w:r w:rsidRPr="00406AFC">
        <w:rPr>
          <w:snapToGrid/>
          <w:color w:val="000000" w:themeColor="text1"/>
        </w:rPr>
        <w:t xml:space="preserve">Academic Regulations – Changes for </w:t>
      </w:r>
      <w:r w:rsidR="00406AFC" w:rsidRPr="00406AFC">
        <w:rPr>
          <w:snapToGrid/>
          <w:color w:val="000000" w:themeColor="text1"/>
        </w:rPr>
        <w:t xml:space="preserve">Academic Year </w:t>
      </w:r>
      <w:r w:rsidRPr="00406AFC">
        <w:rPr>
          <w:snapToGrid/>
          <w:color w:val="000000" w:themeColor="text1"/>
        </w:rPr>
        <w:t>2023/24</w:t>
      </w:r>
    </w:p>
    <w:p w14:paraId="59521C22" w14:textId="77777777" w:rsidR="00CB0F5F" w:rsidRPr="00406AFC" w:rsidRDefault="00CB0F5F" w:rsidP="00406AFC">
      <w:pPr>
        <w:pStyle w:val="Heading2"/>
        <w:spacing w:line="360" w:lineRule="auto"/>
        <w:rPr>
          <w:snapToGrid/>
          <w:color w:val="000000" w:themeColor="text1"/>
        </w:rPr>
      </w:pPr>
      <w:r w:rsidRPr="00406AFC">
        <w:rPr>
          <w:snapToGrid/>
          <w:color w:val="000000" w:themeColor="text1"/>
        </w:rPr>
        <w:t>Introduction</w:t>
      </w:r>
    </w:p>
    <w:p w14:paraId="3E0E2070" w14:textId="404CDF60" w:rsidR="00CB0F5F" w:rsidRPr="00406AFC" w:rsidRDefault="00CB0F5F" w:rsidP="032EBC84">
      <w:pPr>
        <w:widowControl/>
        <w:suppressAutoHyphens w:val="0"/>
        <w:spacing w:before="100" w:beforeAutospacing="1" w:after="100" w:afterAutospacing="1"/>
        <w:rPr>
          <w:snapToGrid/>
          <w:color w:val="000000" w:themeColor="text1"/>
        </w:rPr>
      </w:pPr>
      <w:r w:rsidRPr="032EBC84">
        <w:rPr>
          <w:snapToGrid/>
          <w:color w:val="000000" w:themeColor="text1"/>
        </w:rPr>
        <w:t>This paper outlines a number of changes to the Academic Regulations for the 2023/24 academic year. It includes some commentary on areas which needed to be considered following a large revision of the regulations which were implemented for 2022/23 academic year, as well as changes for the upcoming academic year. The changes were approved by the Academic Board.</w:t>
      </w:r>
    </w:p>
    <w:p w14:paraId="3EFF4B98" w14:textId="1B359533" w:rsidR="00CB0F5F" w:rsidRPr="00406AFC" w:rsidRDefault="00CB0F5F" w:rsidP="00406AFC">
      <w:pPr>
        <w:pStyle w:val="Heading2"/>
        <w:spacing w:line="360" w:lineRule="auto"/>
        <w:rPr>
          <w:snapToGrid/>
          <w:color w:val="000000" w:themeColor="text1"/>
        </w:rPr>
      </w:pPr>
      <w:r w:rsidRPr="00406AFC">
        <w:rPr>
          <w:snapToGrid/>
          <w:color w:val="000000" w:themeColor="text1"/>
        </w:rPr>
        <w:t>Further work from 2022/23 revisions to the regulations</w:t>
      </w:r>
    </w:p>
    <w:p w14:paraId="6303D711" w14:textId="66700A17" w:rsidR="00CB0F5F" w:rsidRPr="00406AFC" w:rsidRDefault="00CB0F5F" w:rsidP="00406AFC">
      <w:pPr>
        <w:widowControl/>
        <w:suppressAutoHyphens w:val="0"/>
        <w:spacing w:before="100" w:beforeAutospacing="1" w:after="100" w:afterAutospacing="1"/>
        <w:rPr>
          <w:snapToGrid/>
          <w:color w:val="000000" w:themeColor="text1"/>
          <w:szCs w:val="24"/>
        </w:rPr>
      </w:pPr>
      <w:r w:rsidRPr="00406AFC">
        <w:rPr>
          <w:snapToGrid/>
          <w:color w:val="000000" w:themeColor="text1"/>
          <w:szCs w:val="24"/>
        </w:rPr>
        <w:t>There were three outstanding areas of work requiring further consideration during academic year 2022/23 year with the potential for introduction into the regulations from September 2023, as follows:</w:t>
      </w:r>
    </w:p>
    <w:p w14:paraId="255E80A4" w14:textId="2C3036F6" w:rsidR="00CB0F5F" w:rsidRPr="00406AFC" w:rsidRDefault="00CB0F5F" w:rsidP="00406AFC">
      <w:pPr>
        <w:pStyle w:val="Heading3"/>
        <w:numPr>
          <w:ilvl w:val="0"/>
          <w:numId w:val="44"/>
        </w:numPr>
        <w:spacing w:line="360" w:lineRule="auto"/>
        <w:rPr>
          <w:snapToGrid/>
          <w:color w:val="000000" w:themeColor="text1"/>
        </w:rPr>
      </w:pPr>
      <w:r w:rsidRPr="00406AFC">
        <w:rPr>
          <w:snapToGrid/>
          <w:color w:val="000000" w:themeColor="text1"/>
        </w:rPr>
        <w:t>Review of the degree algorithm</w:t>
      </w:r>
    </w:p>
    <w:p w14:paraId="3579E8C6" w14:textId="32B6989A" w:rsidR="00CB0F5F" w:rsidRPr="00406AFC" w:rsidRDefault="00CB0F5F" w:rsidP="00406AFC">
      <w:pPr>
        <w:widowControl/>
        <w:suppressAutoHyphens w:val="0"/>
        <w:spacing w:before="100" w:beforeAutospacing="1" w:after="100" w:afterAutospacing="1"/>
        <w:rPr>
          <w:snapToGrid/>
          <w:color w:val="000000" w:themeColor="text1"/>
          <w:szCs w:val="24"/>
        </w:rPr>
      </w:pPr>
      <w:r w:rsidRPr="00406AFC">
        <w:rPr>
          <w:snapToGrid/>
          <w:color w:val="000000" w:themeColor="text1"/>
          <w:szCs w:val="24"/>
        </w:rPr>
        <w:t>A small working group reviewed the degree algorithm, and a report on their findings was considered by the Academic Board. The algorithm will remain unchanged for the 2023/24 academic year.</w:t>
      </w:r>
    </w:p>
    <w:p w14:paraId="20E3BB90" w14:textId="331FB3C0" w:rsidR="00CB0F5F" w:rsidRPr="00406AFC" w:rsidRDefault="00CB0F5F" w:rsidP="00406AFC">
      <w:pPr>
        <w:pStyle w:val="Heading3"/>
        <w:numPr>
          <w:ilvl w:val="0"/>
          <w:numId w:val="44"/>
        </w:numPr>
        <w:spacing w:line="360" w:lineRule="auto"/>
        <w:rPr>
          <w:snapToGrid/>
          <w:color w:val="000000" w:themeColor="text1"/>
        </w:rPr>
      </w:pPr>
      <w:r w:rsidRPr="00406AFC">
        <w:rPr>
          <w:snapToGrid/>
          <w:color w:val="000000" w:themeColor="text1"/>
        </w:rPr>
        <w:t>Revisions to the way in which marks for both incoming and outgoing Study Abroad and Exchange students are calculated</w:t>
      </w:r>
    </w:p>
    <w:p w14:paraId="5B9F4FAA" w14:textId="0757D6B2" w:rsidR="00CB0F5F" w:rsidRPr="00406AFC" w:rsidRDefault="00CB0F5F" w:rsidP="00406AFC">
      <w:pPr>
        <w:widowControl/>
        <w:suppressAutoHyphens w:val="0"/>
        <w:spacing w:before="100" w:beforeAutospacing="1" w:after="100" w:afterAutospacing="1"/>
        <w:rPr>
          <w:snapToGrid/>
          <w:color w:val="000000" w:themeColor="text1"/>
          <w:szCs w:val="24"/>
        </w:rPr>
      </w:pPr>
      <w:r w:rsidRPr="00406AFC">
        <w:rPr>
          <w:snapToGrid/>
          <w:color w:val="000000" w:themeColor="text1"/>
          <w:szCs w:val="24"/>
        </w:rPr>
        <w:t>A more nuanced, country specific approach to this work has been taken, based on work done elsewhere in the sector. This is appended to the regulations.</w:t>
      </w:r>
    </w:p>
    <w:p w14:paraId="09C00A1F" w14:textId="4B791533" w:rsidR="00CB0F5F" w:rsidRPr="00406AFC" w:rsidRDefault="00CB0F5F" w:rsidP="00406AFC">
      <w:pPr>
        <w:pStyle w:val="Heading3"/>
        <w:numPr>
          <w:ilvl w:val="0"/>
          <w:numId w:val="44"/>
        </w:numPr>
        <w:spacing w:line="360" w:lineRule="auto"/>
        <w:rPr>
          <w:snapToGrid/>
          <w:color w:val="000000" w:themeColor="text1"/>
        </w:rPr>
      </w:pPr>
      <w:r w:rsidRPr="00406AFC">
        <w:rPr>
          <w:snapToGrid/>
          <w:color w:val="000000" w:themeColor="text1"/>
        </w:rPr>
        <w:t>Review the processes in place for the approval of certificated and experiential learning, and how this is reflected in the regulations</w:t>
      </w:r>
    </w:p>
    <w:p w14:paraId="2751072D" w14:textId="77777777" w:rsidR="00CB0F5F" w:rsidRPr="00406AFC" w:rsidRDefault="00CB0F5F" w:rsidP="00406AFC">
      <w:pPr>
        <w:widowControl/>
        <w:suppressAutoHyphens w:val="0"/>
        <w:spacing w:before="100" w:beforeAutospacing="1" w:after="100" w:afterAutospacing="1"/>
        <w:rPr>
          <w:snapToGrid/>
          <w:color w:val="000000" w:themeColor="text1"/>
          <w:szCs w:val="24"/>
        </w:rPr>
      </w:pPr>
      <w:r w:rsidRPr="00406AFC">
        <w:rPr>
          <w:snapToGrid/>
          <w:color w:val="000000" w:themeColor="text1"/>
          <w:szCs w:val="24"/>
        </w:rPr>
        <w:lastRenderedPageBreak/>
        <w:t>This work has been started, but will need to continue during the 2023/24 academic year.</w:t>
      </w:r>
    </w:p>
    <w:p w14:paraId="6A8D20DD" w14:textId="77777777" w:rsidR="00CB0F5F" w:rsidRPr="00406AFC" w:rsidRDefault="00CB0F5F" w:rsidP="00406AFC">
      <w:pPr>
        <w:pStyle w:val="Heading2"/>
        <w:spacing w:line="360" w:lineRule="auto"/>
        <w:rPr>
          <w:snapToGrid/>
          <w:color w:val="000000" w:themeColor="text1"/>
        </w:rPr>
      </w:pPr>
      <w:r w:rsidRPr="00406AFC">
        <w:rPr>
          <w:snapToGrid/>
          <w:color w:val="000000" w:themeColor="text1"/>
        </w:rPr>
        <w:t>Other changes in the regulations for 2023/24</w:t>
      </w:r>
    </w:p>
    <w:p w14:paraId="43329E1E" w14:textId="1BE910C5" w:rsidR="00CB0F5F" w:rsidRPr="00406AFC" w:rsidRDefault="00CB0F5F" w:rsidP="00406AFC">
      <w:pPr>
        <w:widowControl/>
        <w:suppressAutoHyphens w:val="0"/>
        <w:spacing w:before="100" w:beforeAutospacing="1" w:after="100" w:afterAutospacing="1"/>
        <w:rPr>
          <w:snapToGrid/>
          <w:color w:val="000000" w:themeColor="text1"/>
          <w:szCs w:val="24"/>
        </w:rPr>
      </w:pPr>
      <w:r w:rsidRPr="00406AFC">
        <w:rPr>
          <w:snapToGrid/>
          <w:color w:val="000000" w:themeColor="text1"/>
          <w:szCs w:val="24"/>
        </w:rPr>
        <w:t>Aside from a few typographical errors, the following changes have been made to the regulations for 2023/24:</w:t>
      </w:r>
    </w:p>
    <w:p w14:paraId="07E8CAF4" w14:textId="585CF404" w:rsidR="00CB0F5F" w:rsidRPr="00406AFC" w:rsidRDefault="00CB0F5F" w:rsidP="00406AFC">
      <w:pPr>
        <w:widowControl/>
        <w:suppressAutoHyphens w:val="0"/>
        <w:spacing w:before="100" w:beforeAutospacing="1" w:after="100" w:afterAutospacing="1"/>
        <w:rPr>
          <w:snapToGrid/>
          <w:color w:val="000000" w:themeColor="text1"/>
          <w:szCs w:val="24"/>
        </w:rPr>
      </w:pPr>
      <w:r w:rsidRPr="00406AFC">
        <w:rPr>
          <w:snapToGrid/>
          <w:color w:val="000000" w:themeColor="text1"/>
          <w:szCs w:val="24"/>
        </w:rPr>
        <w:t>3.8 – we have added in that in some cases a pre-requisite module will need to be passed, not only studied for;</w:t>
      </w:r>
    </w:p>
    <w:p w14:paraId="08BEB541" w14:textId="77777777" w:rsidR="00CB0F5F" w:rsidRPr="00406AFC" w:rsidRDefault="00CB0F5F" w:rsidP="00406AFC">
      <w:pPr>
        <w:widowControl/>
        <w:suppressAutoHyphens w:val="0"/>
        <w:spacing w:before="100" w:beforeAutospacing="1" w:after="100" w:afterAutospacing="1"/>
        <w:rPr>
          <w:snapToGrid/>
          <w:color w:val="000000" w:themeColor="text1"/>
          <w:szCs w:val="24"/>
        </w:rPr>
      </w:pPr>
      <w:r w:rsidRPr="00406AFC">
        <w:rPr>
          <w:snapToGrid/>
          <w:color w:val="000000" w:themeColor="text1"/>
          <w:szCs w:val="24"/>
        </w:rPr>
        <w:t>4.1.4.8 – notes that the duration of an apprenticeship course might be impacted by the need to undertake the End Point Assessment (EPA);</w:t>
      </w:r>
    </w:p>
    <w:p w14:paraId="173C4473" w14:textId="77777777" w:rsidR="00CB0F5F" w:rsidRPr="00406AFC" w:rsidRDefault="00CB0F5F" w:rsidP="00406AFC">
      <w:pPr>
        <w:widowControl/>
        <w:suppressAutoHyphens w:val="0"/>
        <w:spacing w:before="100" w:beforeAutospacing="1" w:after="100" w:afterAutospacing="1"/>
        <w:rPr>
          <w:snapToGrid/>
          <w:color w:val="000000" w:themeColor="text1"/>
          <w:szCs w:val="24"/>
        </w:rPr>
      </w:pPr>
      <w:r w:rsidRPr="00406AFC">
        <w:rPr>
          <w:snapToGrid/>
          <w:color w:val="000000" w:themeColor="text1"/>
          <w:szCs w:val="24"/>
        </w:rPr>
        <w:t>4.7.9 - slight changes to the wording around ‘termination’ of studies to remove successful completion of studies as a reason for termination;</w:t>
      </w:r>
    </w:p>
    <w:p w14:paraId="7E1AAE57" w14:textId="77777777" w:rsidR="00CB0F5F" w:rsidRPr="00406AFC" w:rsidRDefault="00CB0F5F" w:rsidP="00406AFC">
      <w:pPr>
        <w:widowControl/>
        <w:suppressAutoHyphens w:val="0"/>
        <w:spacing w:before="100" w:beforeAutospacing="1" w:after="100" w:afterAutospacing="1"/>
        <w:rPr>
          <w:snapToGrid/>
          <w:color w:val="000000" w:themeColor="text1"/>
          <w:szCs w:val="24"/>
        </w:rPr>
      </w:pPr>
      <w:r w:rsidRPr="00406AFC">
        <w:rPr>
          <w:snapToGrid/>
          <w:color w:val="000000" w:themeColor="text1"/>
          <w:szCs w:val="24"/>
        </w:rPr>
        <w:t>5.1.7 – clarify that in some cases, a pre-requisite module only needs to have been studied before a student can progress to the next level;</w:t>
      </w:r>
    </w:p>
    <w:p w14:paraId="609F3325" w14:textId="77777777" w:rsidR="00CB0F5F" w:rsidRPr="00406AFC" w:rsidRDefault="00CB0F5F" w:rsidP="00406AFC">
      <w:pPr>
        <w:widowControl/>
        <w:suppressAutoHyphens w:val="0"/>
        <w:spacing w:before="100" w:beforeAutospacing="1" w:after="100" w:afterAutospacing="1"/>
        <w:rPr>
          <w:snapToGrid/>
          <w:color w:val="000000" w:themeColor="text1"/>
          <w:szCs w:val="24"/>
        </w:rPr>
      </w:pPr>
      <w:r w:rsidRPr="00406AFC">
        <w:rPr>
          <w:snapToGrid/>
          <w:color w:val="000000" w:themeColor="text1"/>
          <w:szCs w:val="24"/>
        </w:rPr>
        <w:t>5.2.10 and 5.2.11 – updated conversion charts for exchange and study abroad students have been added to the regulations;</w:t>
      </w:r>
    </w:p>
    <w:p w14:paraId="5679EFE0" w14:textId="77777777" w:rsidR="00CB0F5F" w:rsidRPr="00406AFC" w:rsidRDefault="00CB0F5F" w:rsidP="00406AFC">
      <w:pPr>
        <w:widowControl/>
        <w:suppressAutoHyphens w:val="0"/>
        <w:spacing w:before="100" w:beforeAutospacing="1" w:after="100" w:afterAutospacing="1"/>
        <w:rPr>
          <w:snapToGrid/>
          <w:color w:val="000000" w:themeColor="text1"/>
          <w:szCs w:val="24"/>
        </w:rPr>
      </w:pPr>
      <w:r w:rsidRPr="00406AFC">
        <w:rPr>
          <w:snapToGrid/>
          <w:color w:val="000000" w:themeColor="text1"/>
          <w:szCs w:val="24"/>
        </w:rPr>
        <w:t>6.2 – clarification of the external examiner marking sample has been added;</w:t>
      </w:r>
    </w:p>
    <w:p w14:paraId="1EF4519F" w14:textId="77777777" w:rsidR="00CB0F5F" w:rsidRPr="00406AFC" w:rsidRDefault="00CB0F5F" w:rsidP="00406AFC">
      <w:pPr>
        <w:widowControl/>
        <w:suppressAutoHyphens w:val="0"/>
        <w:spacing w:before="100" w:beforeAutospacing="1" w:after="100" w:afterAutospacing="1"/>
        <w:rPr>
          <w:snapToGrid/>
          <w:color w:val="000000" w:themeColor="text1"/>
          <w:szCs w:val="24"/>
        </w:rPr>
      </w:pPr>
      <w:r w:rsidRPr="00406AFC">
        <w:rPr>
          <w:snapToGrid/>
          <w:color w:val="000000" w:themeColor="text1"/>
          <w:szCs w:val="24"/>
        </w:rPr>
        <w:t>7.4 – clarify that students will achieve a lower award if they don’t achieve all the learning outcomes for the higher award;</w:t>
      </w:r>
    </w:p>
    <w:p w14:paraId="1DEC1429" w14:textId="77777777" w:rsidR="00CB0F5F" w:rsidRPr="00406AFC" w:rsidRDefault="00CB0F5F" w:rsidP="00406AFC">
      <w:pPr>
        <w:widowControl/>
        <w:suppressAutoHyphens w:val="0"/>
        <w:spacing w:before="100" w:beforeAutospacing="1" w:after="100" w:afterAutospacing="1"/>
        <w:rPr>
          <w:snapToGrid/>
          <w:color w:val="000000" w:themeColor="text1"/>
          <w:szCs w:val="24"/>
        </w:rPr>
      </w:pPr>
      <w:r w:rsidRPr="00406AFC">
        <w:rPr>
          <w:snapToGrid/>
          <w:color w:val="000000" w:themeColor="text1"/>
          <w:szCs w:val="24"/>
        </w:rPr>
        <w:t>7.5 – addition of some information around the study year for February start students and their academic year;</w:t>
      </w:r>
    </w:p>
    <w:p w14:paraId="04CE22BE" w14:textId="77777777" w:rsidR="00CB0F5F" w:rsidRPr="00406AFC" w:rsidRDefault="00CB0F5F" w:rsidP="00406AFC">
      <w:pPr>
        <w:widowControl/>
        <w:suppressAutoHyphens w:val="0"/>
        <w:spacing w:before="100" w:beforeAutospacing="1" w:after="100" w:afterAutospacing="1"/>
        <w:rPr>
          <w:snapToGrid/>
          <w:color w:val="000000" w:themeColor="text1"/>
          <w:szCs w:val="24"/>
        </w:rPr>
      </w:pPr>
      <w:r w:rsidRPr="00406AFC">
        <w:rPr>
          <w:snapToGrid/>
          <w:color w:val="000000" w:themeColor="text1"/>
          <w:szCs w:val="24"/>
        </w:rPr>
        <w:t>7.10 – changes have been made to the grades required for a Pass/Merit and Distinction on Pearson HNC and HND courses, in line with updated guidance.</w:t>
      </w:r>
    </w:p>
    <w:p w14:paraId="73178F30" w14:textId="77777777" w:rsidR="00CB0F5F" w:rsidRPr="00406AFC" w:rsidRDefault="00CB0F5F" w:rsidP="00406AFC">
      <w:pPr>
        <w:widowControl/>
        <w:suppressAutoHyphens w:val="0"/>
        <w:spacing w:before="100" w:beforeAutospacing="1" w:after="100" w:afterAutospacing="1"/>
        <w:rPr>
          <w:snapToGrid/>
          <w:color w:val="000000" w:themeColor="text1"/>
          <w:szCs w:val="24"/>
        </w:rPr>
      </w:pPr>
      <w:r w:rsidRPr="00406AFC">
        <w:rPr>
          <w:snapToGrid/>
          <w:color w:val="000000" w:themeColor="text1"/>
          <w:szCs w:val="24"/>
        </w:rPr>
        <w:t>7.18 – change to the reference for the conversion of marks for exchange and study abroad students;</w:t>
      </w:r>
    </w:p>
    <w:p w14:paraId="69DD1F2B" w14:textId="77777777" w:rsidR="00CB0F5F" w:rsidRPr="00406AFC" w:rsidRDefault="00CB0F5F" w:rsidP="00406AFC">
      <w:pPr>
        <w:widowControl/>
        <w:suppressAutoHyphens w:val="0"/>
        <w:spacing w:before="100" w:beforeAutospacing="1" w:after="100" w:afterAutospacing="1"/>
        <w:rPr>
          <w:snapToGrid/>
          <w:color w:val="000000" w:themeColor="text1"/>
          <w:szCs w:val="24"/>
        </w:rPr>
      </w:pPr>
      <w:r w:rsidRPr="00406AFC">
        <w:rPr>
          <w:snapToGrid/>
          <w:color w:val="000000" w:themeColor="text1"/>
          <w:szCs w:val="24"/>
        </w:rPr>
        <w:lastRenderedPageBreak/>
        <w:t>7.19 – a new section has been added around apprenticeship provision, and the distinction between the London Met academic award (which is in line with the rest of the section) and the need for apprentices to complete their end point assessment to achieve the apprenticeship;</w:t>
      </w:r>
    </w:p>
    <w:p w14:paraId="6301A2D7" w14:textId="77777777" w:rsidR="00CB0F5F" w:rsidRPr="00406AFC" w:rsidRDefault="00CB0F5F" w:rsidP="00406AFC">
      <w:pPr>
        <w:widowControl/>
        <w:suppressAutoHyphens w:val="0"/>
        <w:spacing w:before="100" w:beforeAutospacing="1" w:after="100" w:afterAutospacing="1"/>
        <w:rPr>
          <w:snapToGrid/>
          <w:color w:val="000000" w:themeColor="text1"/>
          <w:szCs w:val="24"/>
        </w:rPr>
      </w:pPr>
      <w:r w:rsidRPr="00406AFC">
        <w:rPr>
          <w:snapToGrid/>
          <w:color w:val="000000" w:themeColor="text1"/>
          <w:szCs w:val="24"/>
        </w:rPr>
        <w:t>9.4 – the framework around in-year reassessment to change so that students have 10 working days to resubmit (adjusted from 30 days) and that the reassessment isn’t capped. All other elements of the process remain as is;</w:t>
      </w:r>
    </w:p>
    <w:p w14:paraId="50D0F35D" w14:textId="77777777" w:rsidR="00CB0F5F" w:rsidRPr="00406AFC" w:rsidRDefault="00CB0F5F" w:rsidP="00406AFC">
      <w:pPr>
        <w:widowControl/>
        <w:suppressAutoHyphens w:val="0"/>
        <w:spacing w:before="100" w:beforeAutospacing="1" w:after="100" w:afterAutospacing="1"/>
        <w:rPr>
          <w:snapToGrid/>
          <w:color w:val="000000" w:themeColor="text1"/>
          <w:szCs w:val="24"/>
        </w:rPr>
      </w:pPr>
      <w:r w:rsidRPr="00406AFC">
        <w:rPr>
          <w:snapToGrid/>
          <w:color w:val="000000" w:themeColor="text1"/>
          <w:szCs w:val="24"/>
        </w:rPr>
        <w:t>9.5.2 – additional section added to reflect that Level 6 year February start year-long students are able to undertake the reassessment for any outstanding taught modules in May rather than waiting for the July reassessment period;</w:t>
      </w:r>
    </w:p>
    <w:p w14:paraId="7B1507C8" w14:textId="0C0C7788" w:rsidR="00CB0F5F" w:rsidRPr="00406AFC" w:rsidRDefault="00CB0F5F" w:rsidP="00406AFC">
      <w:pPr>
        <w:widowControl/>
        <w:suppressAutoHyphens w:val="0"/>
        <w:spacing w:before="100" w:beforeAutospacing="1" w:after="100" w:afterAutospacing="1"/>
        <w:rPr>
          <w:snapToGrid/>
          <w:color w:val="000000" w:themeColor="text1"/>
          <w:szCs w:val="24"/>
        </w:rPr>
      </w:pPr>
      <w:r w:rsidRPr="00406AFC">
        <w:rPr>
          <w:snapToGrid/>
          <w:color w:val="000000" w:themeColor="text1"/>
          <w:szCs w:val="24"/>
        </w:rPr>
        <w:t>11.2.9 – there is a need to add an additional research project submission date in July, alongside other reassessment;</w:t>
      </w:r>
    </w:p>
    <w:p w14:paraId="70D86B0E" w14:textId="77777777" w:rsidR="00CB0F5F" w:rsidRPr="00406AFC" w:rsidRDefault="00CB0F5F" w:rsidP="00406AFC">
      <w:pPr>
        <w:widowControl/>
        <w:suppressAutoHyphens w:val="0"/>
        <w:spacing w:before="100" w:beforeAutospacing="1" w:after="100" w:afterAutospacing="1"/>
        <w:rPr>
          <w:snapToGrid/>
          <w:color w:val="000000" w:themeColor="text1"/>
          <w:szCs w:val="24"/>
        </w:rPr>
      </w:pPr>
      <w:r w:rsidRPr="00406AFC">
        <w:rPr>
          <w:snapToGrid/>
          <w:color w:val="000000" w:themeColor="text1"/>
          <w:szCs w:val="24"/>
        </w:rPr>
        <w:t>12.6 – additional information provided on the reassessment period for Level 7 taught modules for February starters.</w:t>
      </w:r>
    </w:p>
    <w:p w14:paraId="6A6041CB" w14:textId="77777777" w:rsidR="00A071E2" w:rsidRPr="00406AFC" w:rsidRDefault="00A071E2" w:rsidP="00406AFC">
      <w:pPr>
        <w:pStyle w:val="Title"/>
        <w:spacing w:line="360" w:lineRule="auto"/>
        <w:rPr>
          <w:color w:val="000000" w:themeColor="text1"/>
        </w:rPr>
      </w:pPr>
    </w:p>
    <w:sectPr w:rsidR="00A071E2" w:rsidRPr="00406AFC" w:rsidSect="005B3AE2">
      <w:footerReference w:type="default" r:id="rId12"/>
      <w:headerReference w:type="first" r:id="rId13"/>
      <w:footerReference w:type="first" r:id="rId14"/>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3E2FA" w14:textId="77777777" w:rsidR="00AA052E" w:rsidRDefault="00AA052E">
      <w:r>
        <w:separator/>
      </w:r>
    </w:p>
  </w:endnote>
  <w:endnote w:type="continuationSeparator" w:id="0">
    <w:p w14:paraId="473C2592" w14:textId="77777777" w:rsidR="00AA052E" w:rsidRDefault="00AA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3DE2" w14:textId="77777777" w:rsidR="001F3FB4" w:rsidRDefault="00CB23AD">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3919E0">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AF80"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1C810" w14:textId="77777777" w:rsidR="00AA052E" w:rsidRDefault="00AA052E">
      <w:r>
        <w:separator/>
      </w:r>
    </w:p>
  </w:footnote>
  <w:footnote w:type="continuationSeparator" w:id="0">
    <w:p w14:paraId="20826F80" w14:textId="77777777" w:rsidR="00AA052E" w:rsidRDefault="00AA0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47DF" w14:textId="77777777" w:rsidR="001F3FB4" w:rsidRDefault="00CB23AD">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597B0C21" wp14:editId="608D23DB">
          <wp:simplePos x="0" y="0"/>
          <wp:positionH relativeFrom="column">
            <wp:posOffset>-283210</wp:posOffset>
          </wp:positionH>
          <wp:positionV relativeFrom="paragraph">
            <wp:posOffset>-690245</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4473"/>
    <w:multiLevelType w:val="hybridMultilevel"/>
    <w:tmpl w:val="773A49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D40D84"/>
    <w:multiLevelType w:val="hybridMultilevel"/>
    <w:tmpl w:val="6C3A4A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31321A"/>
    <w:multiLevelType w:val="hybridMultilevel"/>
    <w:tmpl w:val="91B2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719EC"/>
    <w:multiLevelType w:val="hybridMultilevel"/>
    <w:tmpl w:val="6C7A1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8423E"/>
    <w:multiLevelType w:val="hybridMultilevel"/>
    <w:tmpl w:val="09A438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856B51"/>
    <w:multiLevelType w:val="hybridMultilevel"/>
    <w:tmpl w:val="C37E5E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B05548"/>
    <w:multiLevelType w:val="hybridMultilevel"/>
    <w:tmpl w:val="D5E689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4005B75"/>
    <w:multiLevelType w:val="hybridMultilevel"/>
    <w:tmpl w:val="C90EAA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C2F3280"/>
    <w:multiLevelType w:val="hybridMultilevel"/>
    <w:tmpl w:val="1AA81B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1B47CA3"/>
    <w:multiLevelType w:val="hybridMultilevel"/>
    <w:tmpl w:val="9EBC37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4125775"/>
    <w:multiLevelType w:val="hybridMultilevel"/>
    <w:tmpl w:val="F884A8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511088B"/>
    <w:multiLevelType w:val="hybridMultilevel"/>
    <w:tmpl w:val="F8069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004D6"/>
    <w:multiLevelType w:val="hybridMultilevel"/>
    <w:tmpl w:val="9046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75980"/>
    <w:multiLevelType w:val="hybridMultilevel"/>
    <w:tmpl w:val="8AAC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D91238"/>
    <w:multiLevelType w:val="hybridMultilevel"/>
    <w:tmpl w:val="469091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DBF1618"/>
    <w:multiLevelType w:val="multilevel"/>
    <w:tmpl w:val="A3B289F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493642"/>
    <w:multiLevelType w:val="hybridMultilevel"/>
    <w:tmpl w:val="82E4E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141D88"/>
    <w:multiLevelType w:val="hybridMultilevel"/>
    <w:tmpl w:val="5FA25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DBE3350"/>
    <w:multiLevelType w:val="hybridMultilevel"/>
    <w:tmpl w:val="8294C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0BB6CED"/>
    <w:multiLevelType w:val="hybridMultilevel"/>
    <w:tmpl w:val="313420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2792824"/>
    <w:multiLevelType w:val="multilevel"/>
    <w:tmpl w:val="2652788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2D923C7"/>
    <w:multiLevelType w:val="hybridMultilevel"/>
    <w:tmpl w:val="53266F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48B127B"/>
    <w:multiLevelType w:val="hybridMultilevel"/>
    <w:tmpl w:val="61E2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5949E4"/>
    <w:multiLevelType w:val="hybridMultilevel"/>
    <w:tmpl w:val="0DF00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972756"/>
    <w:multiLevelType w:val="hybridMultilevel"/>
    <w:tmpl w:val="87A2E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4125DE8"/>
    <w:multiLevelType w:val="hybridMultilevel"/>
    <w:tmpl w:val="91EEF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F1354E"/>
    <w:multiLevelType w:val="hybridMultilevel"/>
    <w:tmpl w:val="395AB5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6E47BB4"/>
    <w:multiLevelType w:val="hybridMultilevel"/>
    <w:tmpl w:val="17D6D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5608CA"/>
    <w:multiLevelType w:val="hybridMultilevel"/>
    <w:tmpl w:val="0B46CD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CA96F3F"/>
    <w:multiLevelType w:val="hybridMultilevel"/>
    <w:tmpl w:val="44A61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9D3905"/>
    <w:multiLevelType w:val="hybridMultilevel"/>
    <w:tmpl w:val="4ED60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490051C"/>
    <w:multiLevelType w:val="hybridMultilevel"/>
    <w:tmpl w:val="5CDA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E0076B"/>
    <w:multiLevelType w:val="hybridMultilevel"/>
    <w:tmpl w:val="ADC4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CC3A48"/>
    <w:multiLevelType w:val="hybridMultilevel"/>
    <w:tmpl w:val="28F00A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EF3135D"/>
    <w:multiLevelType w:val="hybridMultilevel"/>
    <w:tmpl w:val="0D2A42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FC45DDC"/>
    <w:multiLevelType w:val="hybridMultilevel"/>
    <w:tmpl w:val="2A94D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63111383">
    <w:abstractNumId w:val="12"/>
  </w:num>
  <w:num w:numId="2" w16cid:durableId="1786270382">
    <w:abstractNumId w:val="4"/>
  </w:num>
  <w:num w:numId="3" w16cid:durableId="1069620676">
    <w:abstractNumId w:val="17"/>
  </w:num>
  <w:num w:numId="4" w16cid:durableId="1181428901">
    <w:abstractNumId w:val="22"/>
  </w:num>
  <w:num w:numId="5" w16cid:durableId="822241318">
    <w:abstractNumId w:val="23"/>
  </w:num>
  <w:num w:numId="6" w16cid:durableId="452990753">
    <w:abstractNumId w:val="37"/>
  </w:num>
  <w:num w:numId="7" w16cid:durableId="1839299803">
    <w:abstractNumId w:val="7"/>
  </w:num>
  <w:num w:numId="8" w16cid:durableId="1065572156">
    <w:abstractNumId w:val="26"/>
  </w:num>
  <w:num w:numId="9" w16cid:durableId="1861966081">
    <w:abstractNumId w:val="19"/>
  </w:num>
  <w:num w:numId="10" w16cid:durableId="1494180828">
    <w:abstractNumId w:val="10"/>
  </w:num>
  <w:num w:numId="11" w16cid:durableId="795217291">
    <w:abstractNumId w:val="21"/>
  </w:num>
  <w:num w:numId="12" w16cid:durableId="1376545382">
    <w:abstractNumId w:val="6"/>
  </w:num>
  <w:num w:numId="13" w16cid:durableId="1005087717">
    <w:abstractNumId w:val="3"/>
  </w:num>
  <w:num w:numId="14" w16cid:durableId="1200052514">
    <w:abstractNumId w:val="16"/>
  </w:num>
  <w:num w:numId="15" w16cid:durableId="1005594152">
    <w:abstractNumId w:val="1"/>
  </w:num>
  <w:num w:numId="16" w16cid:durableId="251746870">
    <w:abstractNumId w:val="8"/>
  </w:num>
  <w:num w:numId="17" w16cid:durableId="778793543">
    <w:abstractNumId w:val="20"/>
  </w:num>
  <w:num w:numId="18" w16cid:durableId="617374836">
    <w:abstractNumId w:val="0"/>
  </w:num>
  <w:num w:numId="19" w16cid:durableId="104614883">
    <w:abstractNumId w:val="5"/>
  </w:num>
  <w:num w:numId="20" w16cid:durableId="788202073">
    <w:abstractNumId w:val="9"/>
  </w:num>
  <w:num w:numId="21" w16cid:durableId="1686321281">
    <w:abstractNumId w:val="35"/>
  </w:num>
  <w:num w:numId="22" w16cid:durableId="1180001352">
    <w:abstractNumId w:val="32"/>
  </w:num>
  <w:num w:numId="23" w16cid:durableId="906261958">
    <w:abstractNumId w:val="36"/>
  </w:num>
  <w:num w:numId="24" w16cid:durableId="157964865">
    <w:abstractNumId w:val="11"/>
  </w:num>
  <w:num w:numId="25" w16cid:durableId="692075489">
    <w:abstractNumId w:val="28"/>
  </w:num>
  <w:num w:numId="26" w16cid:durableId="1631788513">
    <w:abstractNumId w:val="34"/>
  </w:num>
  <w:num w:numId="27" w16cid:durableId="805004567">
    <w:abstractNumId w:val="31"/>
  </w:num>
  <w:num w:numId="28" w16cid:durableId="1221405450">
    <w:abstractNumId w:val="25"/>
  </w:num>
  <w:num w:numId="29" w16cid:durableId="1678968101">
    <w:abstractNumId w:val="2"/>
  </w:num>
  <w:num w:numId="30" w16cid:durableId="649095003">
    <w:abstractNumId w:val="27"/>
  </w:num>
  <w:num w:numId="31" w16cid:durableId="2101178713">
    <w:abstractNumId w:val="13"/>
  </w:num>
  <w:num w:numId="32" w16cid:durableId="19012634">
    <w:abstractNumId w:val="18"/>
  </w:num>
  <w:num w:numId="33" w16cid:durableId="1756048434">
    <w:abstractNumId w:val="14"/>
  </w:num>
  <w:num w:numId="34" w16cid:durableId="1677489554">
    <w:abstractNumId w:val="15"/>
  </w:num>
  <w:num w:numId="35" w16cid:durableId="1276908460">
    <w:abstractNumId w:val="24"/>
  </w:num>
  <w:num w:numId="36" w16cid:durableId="43408883">
    <w:abstractNumId w:val="33"/>
  </w:num>
  <w:num w:numId="37" w16cid:durableId="1812284293">
    <w:abstractNumId w:val="12"/>
  </w:num>
  <w:num w:numId="38" w16cid:durableId="342628450">
    <w:abstractNumId w:val="12"/>
  </w:num>
  <w:num w:numId="39" w16cid:durableId="20787071">
    <w:abstractNumId w:val="12"/>
  </w:num>
  <w:num w:numId="40" w16cid:durableId="1215889982">
    <w:abstractNumId w:val="12"/>
  </w:num>
  <w:num w:numId="41" w16cid:durableId="1018315566">
    <w:abstractNumId w:val="12"/>
  </w:num>
  <w:num w:numId="42" w16cid:durableId="118691580">
    <w:abstractNumId w:val="12"/>
  </w:num>
  <w:num w:numId="43" w16cid:durableId="1772122489">
    <w:abstractNumId w:val="29"/>
  </w:num>
  <w:num w:numId="44" w16cid:durableId="21005921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readOnly" w:enforcement="1" w:cryptProviderType="rsaAES" w:cryptAlgorithmClass="hash" w:cryptAlgorithmType="typeAny" w:cryptAlgorithmSid="14" w:cryptSpinCount="100000" w:hash="2gtyKW0tyeuXEeEWY3hr/n7/NWUvEzlu1zCQK34VlDgCywi5oy7N9n4VTWKMAdvFNXvGtczAlYowIuGgOIR4lw==" w:salt="x9MLQCKgcbgY3MFwUvh8m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089"/>
    <w:rsid w:val="0000308C"/>
    <w:rsid w:val="00013134"/>
    <w:rsid w:val="00017D1D"/>
    <w:rsid w:val="00021D82"/>
    <w:rsid w:val="00030AD5"/>
    <w:rsid w:val="000514E3"/>
    <w:rsid w:val="000670EB"/>
    <w:rsid w:val="000803B7"/>
    <w:rsid w:val="00086978"/>
    <w:rsid w:val="000B4823"/>
    <w:rsid w:val="000C38F5"/>
    <w:rsid w:val="000D6475"/>
    <w:rsid w:val="000E147B"/>
    <w:rsid w:val="00107753"/>
    <w:rsid w:val="00123D77"/>
    <w:rsid w:val="00125970"/>
    <w:rsid w:val="00141F93"/>
    <w:rsid w:val="00147401"/>
    <w:rsid w:val="001653A8"/>
    <w:rsid w:val="001703C1"/>
    <w:rsid w:val="0018065D"/>
    <w:rsid w:val="0018362C"/>
    <w:rsid w:val="00193AE7"/>
    <w:rsid w:val="001A373A"/>
    <w:rsid w:val="001C4295"/>
    <w:rsid w:val="001E0A76"/>
    <w:rsid w:val="001E530B"/>
    <w:rsid w:val="001E634C"/>
    <w:rsid w:val="001E6418"/>
    <w:rsid w:val="001F2415"/>
    <w:rsid w:val="001F3FB4"/>
    <w:rsid w:val="001F62F9"/>
    <w:rsid w:val="00201414"/>
    <w:rsid w:val="0021612B"/>
    <w:rsid w:val="0022408D"/>
    <w:rsid w:val="0024054A"/>
    <w:rsid w:val="00241E8D"/>
    <w:rsid w:val="00253687"/>
    <w:rsid w:val="002736A2"/>
    <w:rsid w:val="00274CC2"/>
    <w:rsid w:val="00277674"/>
    <w:rsid w:val="00281887"/>
    <w:rsid w:val="00291C92"/>
    <w:rsid w:val="00292459"/>
    <w:rsid w:val="002B6A81"/>
    <w:rsid w:val="002C6BED"/>
    <w:rsid w:val="002C7B00"/>
    <w:rsid w:val="002D1B0A"/>
    <w:rsid w:val="002D295F"/>
    <w:rsid w:val="002D4266"/>
    <w:rsid w:val="002F39EA"/>
    <w:rsid w:val="00306E06"/>
    <w:rsid w:val="0031185D"/>
    <w:rsid w:val="003211FF"/>
    <w:rsid w:val="00332068"/>
    <w:rsid w:val="00342164"/>
    <w:rsid w:val="00347A0D"/>
    <w:rsid w:val="00353491"/>
    <w:rsid w:val="00357DD0"/>
    <w:rsid w:val="0036280D"/>
    <w:rsid w:val="0036600C"/>
    <w:rsid w:val="003866B3"/>
    <w:rsid w:val="00386D08"/>
    <w:rsid w:val="003919E0"/>
    <w:rsid w:val="00393A08"/>
    <w:rsid w:val="003B0EB1"/>
    <w:rsid w:val="003B645E"/>
    <w:rsid w:val="003B66C4"/>
    <w:rsid w:val="003C1E75"/>
    <w:rsid w:val="003E0EA2"/>
    <w:rsid w:val="003F08E9"/>
    <w:rsid w:val="003F5F6F"/>
    <w:rsid w:val="00404349"/>
    <w:rsid w:val="00406AFC"/>
    <w:rsid w:val="00423BB3"/>
    <w:rsid w:val="00431EC6"/>
    <w:rsid w:val="00461491"/>
    <w:rsid w:val="004770FA"/>
    <w:rsid w:val="0048129F"/>
    <w:rsid w:val="004817F4"/>
    <w:rsid w:val="004A666D"/>
    <w:rsid w:val="004A669D"/>
    <w:rsid w:val="004B41D1"/>
    <w:rsid w:val="004D7A05"/>
    <w:rsid w:val="004E3C8E"/>
    <w:rsid w:val="004E7E42"/>
    <w:rsid w:val="004F0E59"/>
    <w:rsid w:val="004F159C"/>
    <w:rsid w:val="004F2ACB"/>
    <w:rsid w:val="004F64CF"/>
    <w:rsid w:val="0050085F"/>
    <w:rsid w:val="00501AAB"/>
    <w:rsid w:val="005020FA"/>
    <w:rsid w:val="00504C0D"/>
    <w:rsid w:val="00506442"/>
    <w:rsid w:val="005133D0"/>
    <w:rsid w:val="00515C3C"/>
    <w:rsid w:val="00522C92"/>
    <w:rsid w:val="00534533"/>
    <w:rsid w:val="0055413F"/>
    <w:rsid w:val="00564089"/>
    <w:rsid w:val="005A506F"/>
    <w:rsid w:val="005A556A"/>
    <w:rsid w:val="005B3AE2"/>
    <w:rsid w:val="005E096C"/>
    <w:rsid w:val="005E5B5F"/>
    <w:rsid w:val="00603DE8"/>
    <w:rsid w:val="00615090"/>
    <w:rsid w:val="0061511D"/>
    <w:rsid w:val="00615BB6"/>
    <w:rsid w:val="00621F81"/>
    <w:rsid w:val="0062263A"/>
    <w:rsid w:val="00624ABC"/>
    <w:rsid w:val="00624F8B"/>
    <w:rsid w:val="00626C13"/>
    <w:rsid w:val="00630289"/>
    <w:rsid w:val="00630339"/>
    <w:rsid w:val="00652C10"/>
    <w:rsid w:val="00656B29"/>
    <w:rsid w:val="00667D9C"/>
    <w:rsid w:val="006758B3"/>
    <w:rsid w:val="00675C96"/>
    <w:rsid w:val="00676313"/>
    <w:rsid w:val="006811D7"/>
    <w:rsid w:val="0068218E"/>
    <w:rsid w:val="006966B9"/>
    <w:rsid w:val="006A24EC"/>
    <w:rsid w:val="006A4348"/>
    <w:rsid w:val="006A6DB3"/>
    <w:rsid w:val="006C2DFC"/>
    <w:rsid w:val="006E2B86"/>
    <w:rsid w:val="006E41C3"/>
    <w:rsid w:val="006E6193"/>
    <w:rsid w:val="00710CF6"/>
    <w:rsid w:val="0071492B"/>
    <w:rsid w:val="0071604F"/>
    <w:rsid w:val="007161C1"/>
    <w:rsid w:val="007174AB"/>
    <w:rsid w:val="007449CC"/>
    <w:rsid w:val="007475CC"/>
    <w:rsid w:val="0075476C"/>
    <w:rsid w:val="0077147B"/>
    <w:rsid w:val="0077672B"/>
    <w:rsid w:val="00797A09"/>
    <w:rsid w:val="007A2AD8"/>
    <w:rsid w:val="007A3963"/>
    <w:rsid w:val="007B3224"/>
    <w:rsid w:val="007C26B9"/>
    <w:rsid w:val="007E5EF6"/>
    <w:rsid w:val="007F2239"/>
    <w:rsid w:val="007F4935"/>
    <w:rsid w:val="00806C38"/>
    <w:rsid w:val="00820B84"/>
    <w:rsid w:val="0083702C"/>
    <w:rsid w:val="00840A92"/>
    <w:rsid w:val="00843519"/>
    <w:rsid w:val="00863463"/>
    <w:rsid w:val="008647B3"/>
    <w:rsid w:val="008648EC"/>
    <w:rsid w:val="00866F92"/>
    <w:rsid w:val="0087104A"/>
    <w:rsid w:val="00876B6B"/>
    <w:rsid w:val="008832E3"/>
    <w:rsid w:val="00891315"/>
    <w:rsid w:val="00891924"/>
    <w:rsid w:val="00894072"/>
    <w:rsid w:val="0089678E"/>
    <w:rsid w:val="008A539C"/>
    <w:rsid w:val="008B3866"/>
    <w:rsid w:val="008B3C57"/>
    <w:rsid w:val="008C2F24"/>
    <w:rsid w:val="008F499E"/>
    <w:rsid w:val="008F786C"/>
    <w:rsid w:val="00911685"/>
    <w:rsid w:val="0091407B"/>
    <w:rsid w:val="00921AE9"/>
    <w:rsid w:val="00924AE7"/>
    <w:rsid w:val="009315A0"/>
    <w:rsid w:val="00936605"/>
    <w:rsid w:val="009467C4"/>
    <w:rsid w:val="00953591"/>
    <w:rsid w:val="00956BC8"/>
    <w:rsid w:val="00964722"/>
    <w:rsid w:val="00977B90"/>
    <w:rsid w:val="00987089"/>
    <w:rsid w:val="009935F5"/>
    <w:rsid w:val="009C4FC9"/>
    <w:rsid w:val="009E0205"/>
    <w:rsid w:val="009E4E6E"/>
    <w:rsid w:val="009F115C"/>
    <w:rsid w:val="00A0065E"/>
    <w:rsid w:val="00A038C0"/>
    <w:rsid w:val="00A071E2"/>
    <w:rsid w:val="00A15713"/>
    <w:rsid w:val="00A16F46"/>
    <w:rsid w:val="00A17DF4"/>
    <w:rsid w:val="00A2455A"/>
    <w:rsid w:val="00A41B13"/>
    <w:rsid w:val="00A506BC"/>
    <w:rsid w:val="00A515CB"/>
    <w:rsid w:val="00A57930"/>
    <w:rsid w:val="00A60B7C"/>
    <w:rsid w:val="00A64290"/>
    <w:rsid w:val="00A738D1"/>
    <w:rsid w:val="00A828E9"/>
    <w:rsid w:val="00AA052E"/>
    <w:rsid w:val="00AB0368"/>
    <w:rsid w:val="00AB4137"/>
    <w:rsid w:val="00AC0D51"/>
    <w:rsid w:val="00AC5EAC"/>
    <w:rsid w:val="00AD75FF"/>
    <w:rsid w:val="00AD7977"/>
    <w:rsid w:val="00AF3CCE"/>
    <w:rsid w:val="00B025B2"/>
    <w:rsid w:val="00B17434"/>
    <w:rsid w:val="00B363A5"/>
    <w:rsid w:val="00B45D04"/>
    <w:rsid w:val="00B5168A"/>
    <w:rsid w:val="00B63A3A"/>
    <w:rsid w:val="00B76D46"/>
    <w:rsid w:val="00B86E25"/>
    <w:rsid w:val="00BA2F1B"/>
    <w:rsid w:val="00BA5D79"/>
    <w:rsid w:val="00BB1460"/>
    <w:rsid w:val="00BB1BC7"/>
    <w:rsid w:val="00BB653E"/>
    <w:rsid w:val="00BC1233"/>
    <w:rsid w:val="00C12382"/>
    <w:rsid w:val="00C303F5"/>
    <w:rsid w:val="00C305CC"/>
    <w:rsid w:val="00C334F8"/>
    <w:rsid w:val="00C35784"/>
    <w:rsid w:val="00C40687"/>
    <w:rsid w:val="00C43240"/>
    <w:rsid w:val="00C43C73"/>
    <w:rsid w:val="00C556F2"/>
    <w:rsid w:val="00C72699"/>
    <w:rsid w:val="00C930F4"/>
    <w:rsid w:val="00CA3FE4"/>
    <w:rsid w:val="00CA6384"/>
    <w:rsid w:val="00CB0F5F"/>
    <w:rsid w:val="00CB23AD"/>
    <w:rsid w:val="00CB6621"/>
    <w:rsid w:val="00CB76D3"/>
    <w:rsid w:val="00CD2C1E"/>
    <w:rsid w:val="00CD6344"/>
    <w:rsid w:val="00CD6560"/>
    <w:rsid w:val="00CE7F63"/>
    <w:rsid w:val="00CF0D04"/>
    <w:rsid w:val="00CF2D0D"/>
    <w:rsid w:val="00CF3D9C"/>
    <w:rsid w:val="00D14F92"/>
    <w:rsid w:val="00D2145D"/>
    <w:rsid w:val="00D23D5B"/>
    <w:rsid w:val="00D27A3B"/>
    <w:rsid w:val="00D32396"/>
    <w:rsid w:val="00D43456"/>
    <w:rsid w:val="00D76A46"/>
    <w:rsid w:val="00DA4A98"/>
    <w:rsid w:val="00DB153F"/>
    <w:rsid w:val="00DC5EC3"/>
    <w:rsid w:val="00DD11C4"/>
    <w:rsid w:val="00DD11CD"/>
    <w:rsid w:val="00DD3B0C"/>
    <w:rsid w:val="00DD715D"/>
    <w:rsid w:val="00DE1C64"/>
    <w:rsid w:val="00DE6BEE"/>
    <w:rsid w:val="00DF148C"/>
    <w:rsid w:val="00DF5B2C"/>
    <w:rsid w:val="00E00319"/>
    <w:rsid w:val="00E052DE"/>
    <w:rsid w:val="00E12B91"/>
    <w:rsid w:val="00E17EF0"/>
    <w:rsid w:val="00E239F5"/>
    <w:rsid w:val="00E23B58"/>
    <w:rsid w:val="00E5506A"/>
    <w:rsid w:val="00E5605F"/>
    <w:rsid w:val="00E62FA4"/>
    <w:rsid w:val="00E65F21"/>
    <w:rsid w:val="00E80DAD"/>
    <w:rsid w:val="00E8202B"/>
    <w:rsid w:val="00E82641"/>
    <w:rsid w:val="00E843E9"/>
    <w:rsid w:val="00EB61C4"/>
    <w:rsid w:val="00EB65ED"/>
    <w:rsid w:val="00EC0D7C"/>
    <w:rsid w:val="00ED0BB0"/>
    <w:rsid w:val="00EF1F1C"/>
    <w:rsid w:val="00F07A21"/>
    <w:rsid w:val="00F1037F"/>
    <w:rsid w:val="00F37899"/>
    <w:rsid w:val="00F83DF5"/>
    <w:rsid w:val="00FA35A7"/>
    <w:rsid w:val="00FA7896"/>
    <w:rsid w:val="00FB54CB"/>
    <w:rsid w:val="00FB7B96"/>
    <w:rsid w:val="00FC55E9"/>
    <w:rsid w:val="00FD6F13"/>
    <w:rsid w:val="032EBC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86A1F"/>
  <w15:docId w15:val="{AC6661F4-3EA6-42ED-8283-7BBDAF28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34"/>
    <w:rsid w:val="00980F8B"/>
    <w:pPr>
      <w:numPr>
        <w:numId w:val="1"/>
      </w:numPr>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paragraph" w:styleId="TOCHeading">
    <w:name w:val="TOC Heading"/>
    <w:basedOn w:val="Heading1"/>
    <w:next w:val="Normal"/>
    <w:uiPriority w:val="39"/>
    <w:unhideWhenUsed/>
    <w:qFormat/>
    <w:rsid w:val="00E5506A"/>
    <w:pPr>
      <w:keepNext/>
      <w:keepLines/>
      <w:widowControl/>
      <w:spacing w:before="240" w:after="0" w:line="259" w:lineRule="auto"/>
      <w:outlineLvl w:val="9"/>
    </w:pPr>
    <w:rPr>
      <w:rFonts w:asciiTheme="majorHAnsi" w:eastAsiaTheme="majorEastAsia" w:hAnsiTheme="majorHAnsi" w:cstheme="majorBidi"/>
      <w:b w:val="0"/>
      <w:bCs w:val="0"/>
      <w:snapToGrid/>
      <w:color w:val="365F91" w:themeColor="accent1" w:themeShade="BF"/>
      <w:szCs w:val="32"/>
      <w:lang w:val="en-US" w:eastAsia="en-US"/>
    </w:rPr>
  </w:style>
  <w:style w:type="paragraph" w:styleId="TOC1">
    <w:name w:val="toc 1"/>
    <w:basedOn w:val="Normal"/>
    <w:next w:val="Normal"/>
    <w:autoRedefine/>
    <w:uiPriority w:val="39"/>
    <w:unhideWhenUsed/>
    <w:rsid w:val="00E5506A"/>
    <w:pPr>
      <w:spacing w:after="100"/>
    </w:pPr>
  </w:style>
  <w:style w:type="paragraph" w:styleId="TOC2">
    <w:name w:val="toc 2"/>
    <w:basedOn w:val="Normal"/>
    <w:next w:val="Normal"/>
    <w:autoRedefine/>
    <w:uiPriority w:val="39"/>
    <w:unhideWhenUsed/>
    <w:rsid w:val="00E5506A"/>
    <w:pPr>
      <w:spacing w:after="100"/>
      <w:ind w:left="240"/>
    </w:pPr>
  </w:style>
  <w:style w:type="paragraph" w:styleId="TOC3">
    <w:name w:val="toc 3"/>
    <w:basedOn w:val="Normal"/>
    <w:next w:val="Normal"/>
    <w:autoRedefine/>
    <w:uiPriority w:val="39"/>
    <w:unhideWhenUsed/>
    <w:rsid w:val="00E5506A"/>
    <w:pPr>
      <w:spacing w:after="100"/>
      <w:ind w:left="480"/>
    </w:pPr>
  </w:style>
  <w:style w:type="paragraph" w:styleId="Revision">
    <w:name w:val="Revision"/>
    <w:hidden/>
    <w:uiPriority w:val="99"/>
    <w:semiHidden/>
    <w:rsid w:val="000B4823"/>
    <w:pPr>
      <w:widowControl/>
    </w:pPr>
    <w:rPr>
      <w:rFonts w:eastAsia="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360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ching\Downloads\Word%20document%20template%20with%20cover%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575AC27D76F49A0D200A11BA0D8D3" ma:contentTypeVersion="14" ma:contentTypeDescription="Create a new document." ma:contentTypeScope="" ma:versionID="5ecc102c200b765e840b92dc77c421a1">
  <xsd:schema xmlns:xsd="http://www.w3.org/2001/XMLSchema" xmlns:xs="http://www.w3.org/2001/XMLSchema" xmlns:p="http://schemas.microsoft.com/office/2006/metadata/properties" xmlns:ns3="342bf73d-2e1c-4125-9d55-eb2c71a274b8" xmlns:ns4="ac03c521-b5aa-419e-b5e6-558b93f70c56" targetNamespace="http://schemas.microsoft.com/office/2006/metadata/properties" ma:root="true" ma:fieldsID="1e51ecf6d82446e45aa6dc46f9bddabd" ns3:_="" ns4:_="">
    <xsd:import namespace="342bf73d-2e1c-4125-9d55-eb2c71a274b8"/>
    <xsd:import namespace="ac03c521-b5aa-419e-b5e6-558b93f70c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bf73d-2e1c-4125-9d55-eb2c71a274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03c521-b5aa-419e-b5e6-558b93f70c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Props1.xml><?xml version="1.0" encoding="utf-8"?>
<ds:datastoreItem xmlns:ds="http://schemas.openxmlformats.org/officeDocument/2006/customXml" ds:itemID="{C0A3197E-86DF-4D16-A785-C37B86100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bf73d-2e1c-4125-9d55-eb2c71a274b8"/>
    <ds:schemaRef ds:uri="ac03c521-b5aa-419e-b5e6-558b93f70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C79A62-B823-47EA-8789-FFD87AE81E12}">
  <ds:schemaRefs>
    <ds:schemaRef ds:uri="http://schemas.microsoft.com/sharepoint/v3/contenttype/forms"/>
  </ds:schemaRefs>
</ds:datastoreItem>
</file>

<file path=customXml/itemProps3.xml><?xml version="1.0" encoding="utf-8"?>
<ds:datastoreItem xmlns:ds="http://schemas.openxmlformats.org/officeDocument/2006/customXml" ds:itemID="{BD57A77F-D578-4526-9F61-07A1D138ED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sheet.dotx</Template>
  <TotalTime>0</TotalTime>
  <Pages>3</Pages>
  <Words>555</Words>
  <Characters>3166</Characters>
  <Application>Microsoft Office Word</Application>
  <DocSecurity>8</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Veschini</dc:creator>
  <cp:lastModifiedBy>Gillian Veschini</cp:lastModifiedBy>
  <cp:revision>2</cp:revision>
  <dcterms:created xsi:type="dcterms:W3CDTF">2023-08-09T13:03:00Z</dcterms:created>
  <dcterms:modified xsi:type="dcterms:W3CDTF">2023-08-09T13:03:00Z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0x01010048B575AC27D76F49A0D200A11BA0D8D3</vt:lpwstr>
  </property>
</Properties>
</file>